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685D" w14:textId="77777777" w:rsidR="000B1A34" w:rsidRPr="005E0CEE" w:rsidRDefault="000B1A34" w:rsidP="00F100E7">
      <w:pPr>
        <w:rPr>
          <w:rFonts w:ascii="Franklin Gothic Medium Cond" w:hAnsi="Franklin Gothic Medium Cond"/>
          <w:b/>
          <w:bCs/>
          <w:sz w:val="24"/>
          <w:szCs w:val="24"/>
        </w:rPr>
      </w:pPr>
    </w:p>
    <w:p w14:paraId="7F97AF6B" w14:textId="0D9EE872" w:rsidR="00B42FA4" w:rsidRDefault="00311B73" w:rsidP="00F100E7">
      <w:pPr>
        <w:rPr>
          <w:rFonts w:cstheme="minorHAnsi"/>
          <w:bCs/>
          <w:i/>
          <w:szCs w:val="24"/>
        </w:rPr>
      </w:pPr>
      <w:r>
        <w:rPr>
          <w:rFonts w:cstheme="minorHAnsi"/>
          <w:bCs/>
          <w:i/>
          <w:szCs w:val="24"/>
        </w:rPr>
        <w:t xml:space="preserve">Alternative approaches to grading have recently increased in popularity. Alternative grading schemes offer greater flexibility and customization than traditional methods, which made them particularly appealing to instructors </w:t>
      </w:r>
      <w:r w:rsidR="00DB1851">
        <w:rPr>
          <w:rFonts w:cstheme="minorHAnsi"/>
          <w:bCs/>
          <w:i/>
          <w:szCs w:val="24"/>
        </w:rPr>
        <w:t>as a response</w:t>
      </w:r>
      <w:r>
        <w:rPr>
          <w:rFonts w:cstheme="minorHAnsi"/>
          <w:bCs/>
          <w:i/>
          <w:szCs w:val="24"/>
        </w:rPr>
        <w:t xml:space="preserve"> to the challenges of teaching during the</w:t>
      </w:r>
      <w:r w:rsidR="00DB1851">
        <w:rPr>
          <w:rFonts w:cstheme="minorHAnsi"/>
          <w:bCs/>
          <w:i/>
          <w:szCs w:val="24"/>
        </w:rPr>
        <w:t xml:space="preserve"> COVID-19</w:t>
      </w:r>
      <w:r>
        <w:rPr>
          <w:rFonts w:cstheme="minorHAnsi"/>
          <w:bCs/>
          <w:i/>
          <w:szCs w:val="24"/>
        </w:rPr>
        <w:t xml:space="preserve"> pandemic. In general, alternative grading schemes prioritize transparency, </w:t>
      </w:r>
      <w:r w:rsidR="00F21DC9">
        <w:rPr>
          <w:rFonts w:cstheme="minorHAnsi"/>
          <w:bCs/>
          <w:i/>
          <w:szCs w:val="24"/>
        </w:rPr>
        <w:t xml:space="preserve">a growth/progress </w:t>
      </w:r>
      <w:r w:rsidR="007478CA">
        <w:rPr>
          <w:rFonts w:cstheme="minorHAnsi"/>
          <w:bCs/>
          <w:i/>
          <w:szCs w:val="24"/>
        </w:rPr>
        <w:t>orientation</w:t>
      </w:r>
      <w:r>
        <w:rPr>
          <w:rFonts w:cstheme="minorHAnsi"/>
          <w:bCs/>
          <w:i/>
          <w:szCs w:val="24"/>
        </w:rPr>
        <w:t xml:space="preserve"> to learning, alignment between learning objectives and assessment practices, increased communication between instructors and students, and reduced power imbalances between the same. Despite these similarities, alternative grading schemes differ </w:t>
      </w:r>
      <w:proofErr w:type="gramStart"/>
      <w:r>
        <w:rPr>
          <w:rFonts w:cstheme="minorHAnsi"/>
          <w:bCs/>
          <w:i/>
          <w:szCs w:val="24"/>
        </w:rPr>
        <w:t>in the details</w:t>
      </w:r>
      <w:proofErr w:type="gramEnd"/>
      <w:r>
        <w:rPr>
          <w:rFonts w:cstheme="minorHAnsi"/>
          <w:bCs/>
          <w:i/>
          <w:szCs w:val="24"/>
        </w:rPr>
        <w:t>. This document</w:t>
      </w:r>
      <w:r w:rsidR="00384ECD">
        <w:rPr>
          <w:rFonts w:cstheme="minorHAnsi"/>
          <w:bCs/>
          <w:i/>
          <w:szCs w:val="24"/>
        </w:rPr>
        <w:t xml:space="preserve"> summarizes</w:t>
      </w:r>
      <w:r>
        <w:rPr>
          <w:rFonts w:cstheme="minorHAnsi"/>
          <w:bCs/>
          <w:i/>
          <w:szCs w:val="24"/>
        </w:rPr>
        <w:t xml:space="preserve"> a few alternatives to traditional</w:t>
      </w:r>
      <w:r w:rsidR="00384ECD">
        <w:rPr>
          <w:rFonts w:cstheme="minorHAnsi"/>
          <w:bCs/>
          <w:i/>
          <w:szCs w:val="24"/>
        </w:rPr>
        <w:t xml:space="preserve"> grading </w:t>
      </w:r>
      <w:r w:rsidR="00B17E5D">
        <w:rPr>
          <w:rFonts w:cstheme="minorHAnsi"/>
          <w:bCs/>
          <w:i/>
          <w:szCs w:val="24"/>
        </w:rPr>
        <w:t>processes and</w:t>
      </w:r>
      <w:r w:rsidR="00384ECD">
        <w:rPr>
          <w:rFonts w:cstheme="minorHAnsi"/>
          <w:bCs/>
          <w:i/>
          <w:szCs w:val="24"/>
        </w:rPr>
        <w:t xml:space="preserve"> compares/contrasts the specifics of each approach.</w:t>
      </w:r>
    </w:p>
    <w:p w14:paraId="242329B8" w14:textId="35A1A47F" w:rsidR="00384ECD" w:rsidRDefault="00384ECD" w:rsidP="00F100E7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Specifications Grading</w:t>
      </w:r>
    </w:p>
    <w:p w14:paraId="1530675E" w14:textId="484A0957" w:rsidR="00384ECD" w:rsidRDefault="002813B2" w:rsidP="00F100E7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Students earn a course grade based on successfully completing assignments that are bundled together at each grade level by difficulty, quantity, and/or</w:t>
      </w:r>
      <w:r w:rsidR="00B17E5D">
        <w:rPr>
          <w:rFonts w:cstheme="minorHAnsi"/>
          <w:bCs/>
          <w:szCs w:val="24"/>
        </w:rPr>
        <w:t xml:space="preserve"> alignment with a particular</w:t>
      </w:r>
      <w:r>
        <w:rPr>
          <w:rFonts w:cstheme="minorHAnsi"/>
          <w:bCs/>
          <w:szCs w:val="24"/>
        </w:rPr>
        <w:t xml:space="preserve"> learning objective. Instructors define clear and comprehensive criteria (aka specs) for successful completion of each assignment; these specs are binary and should articulate wh</w:t>
      </w:r>
      <w:r w:rsidR="00F21DC9">
        <w:rPr>
          <w:rFonts w:cstheme="minorHAnsi"/>
          <w:bCs/>
          <w:szCs w:val="24"/>
        </w:rPr>
        <w:t>at constitutes an acceptable level</w:t>
      </w:r>
      <w:r>
        <w:rPr>
          <w:rFonts w:cstheme="minorHAnsi"/>
          <w:bCs/>
          <w:szCs w:val="24"/>
        </w:rPr>
        <w:t xml:space="preserve"> of learning</w:t>
      </w:r>
      <w:r w:rsidR="00DB1851">
        <w:rPr>
          <w:rFonts w:cstheme="minorHAnsi"/>
          <w:bCs/>
          <w:szCs w:val="24"/>
        </w:rPr>
        <w:t xml:space="preserve"> (</w:t>
      </w:r>
      <w:r w:rsidR="00DB1851" w:rsidRPr="00DB1851">
        <w:rPr>
          <w:rFonts w:cstheme="minorHAnsi"/>
          <w:bCs/>
          <w:i/>
          <w:iCs/>
          <w:szCs w:val="24"/>
        </w:rPr>
        <w:t>not</w:t>
      </w:r>
      <w:r w:rsidR="00DB1851">
        <w:rPr>
          <w:rFonts w:cstheme="minorHAnsi"/>
          <w:bCs/>
          <w:szCs w:val="24"/>
        </w:rPr>
        <w:t xml:space="preserve"> perfection)</w:t>
      </w:r>
      <w:r>
        <w:rPr>
          <w:rFonts w:cstheme="minorHAnsi"/>
          <w:bCs/>
          <w:szCs w:val="24"/>
        </w:rPr>
        <w:t xml:space="preserve">. Individual assignments do not receive letter grades; each assignment gets credit only when it meets </w:t>
      </w:r>
      <w:r w:rsidR="00B17E5D">
        <w:rPr>
          <w:rFonts w:cstheme="minorHAnsi"/>
          <w:bCs/>
          <w:szCs w:val="24"/>
        </w:rPr>
        <w:t>all</w:t>
      </w:r>
      <w:r>
        <w:rPr>
          <w:rFonts w:cstheme="minorHAnsi"/>
          <w:bCs/>
          <w:szCs w:val="24"/>
        </w:rPr>
        <w:t xml:space="preserve"> specs. </w:t>
      </w:r>
      <w:r w:rsidRPr="002813B2">
        <w:rPr>
          <w:rFonts w:cstheme="minorHAnsi"/>
          <w:bCs/>
          <w:szCs w:val="24"/>
        </w:rPr>
        <w:t xml:space="preserve">The definition of “acceptable” for each assignment should be closely tied to the relevant learning objectives for the assignment. </w:t>
      </w:r>
      <w:r w:rsidR="00B17E5D" w:rsidRPr="002813B2">
        <w:rPr>
          <w:rFonts w:cstheme="minorHAnsi"/>
          <w:bCs/>
          <w:szCs w:val="24"/>
        </w:rPr>
        <w:t>To</w:t>
      </w:r>
      <w:r w:rsidRPr="002813B2">
        <w:rPr>
          <w:rFonts w:cstheme="minorHAnsi"/>
          <w:bCs/>
          <w:szCs w:val="24"/>
        </w:rPr>
        <w:t xml:space="preserve"> lower the stakes of any given assignment, specifications grading systems generally allow for (limited) revision opportunities, and instructors provide process-oriented feedback on each assignment, so that assignments that do not yet meet all specifications may be improved.</w:t>
      </w:r>
      <w:r w:rsidR="00D31820">
        <w:rPr>
          <w:rFonts w:cstheme="minorHAnsi"/>
          <w:bCs/>
          <w:szCs w:val="24"/>
        </w:rPr>
        <w:t xml:space="preserve"> Specifications grading allows for, but does not require, instructors and student</w:t>
      </w:r>
      <w:r w:rsidR="00F21DC9">
        <w:rPr>
          <w:rFonts w:cstheme="minorHAnsi"/>
          <w:bCs/>
          <w:szCs w:val="24"/>
        </w:rPr>
        <w:t>s</w:t>
      </w:r>
      <w:r w:rsidR="00D31820">
        <w:rPr>
          <w:rFonts w:cstheme="minorHAnsi"/>
          <w:bCs/>
          <w:szCs w:val="24"/>
        </w:rPr>
        <w:t xml:space="preserve"> to collaboratively define specs for some or all assignments.</w:t>
      </w:r>
    </w:p>
    <w:p w14:paraId="6E447206" w14:textId="21B93EA8" w:rsidR="00384ECD" w:rsidRPr="00D31820" w:rsidRDefault="00384ECD" w:rsidP="00F100E7">
      <w:pPr>
        <w:rPr>
          <w:rFonts w:cstheme="minorHAnsi"/>
          <w:b/>
          <w:bCs/>
          <w:szCs w:val="24"/>
        </w:rPr>
      </w:pPr>
      <w:r w:rsidRPr="00D31820">
        <w:rPr>
          <w:rFonts w:cstheme="minorHAnsi"/>
          <w:b/>
          <w:bCs/>
          <w:szCs w:val="24"/>
        </w:rPr>
        <w:t>Contract Grading</w:t>
      </w:r>
      <w:r w:rsidR="0077414F">
        <w:rPr>
          <w:rFonts w:cstheme="minorHAnsi"/>
          <w:b/>
          <w:bCs/>
          <w:szCs w:val="24"/>
        </w:rPr>
        <w:t xml:space="preserve"> / Labor-based </w:t>
      </w:r>
      <w:proofErr w:type="gramStart"/>
      <w:r w:rsidR="00762ED8">
        <w:rPr>
          <w:rFonts w:cstheme="minorHAnsi"/>
          <w:b/>
          <w:bCs/>
          <w:szCs w:val="24"/>
        </w:rPr>
        <w:t>G</w:t>
      </w:r>
      <w:r w:rsidR="0077414F">
        <w:rPr>
          <w:rFonts w:cstheme="minorHAnsi"/>
          <w:b/>
          <w:bCs/>
          <w:szCs w:val="24"/>
        </w:rPr>
        <w:t>rading</w:t>
      </w:r>
      <w:proofErr w:type="gramEnd"/>
    </w:p>
    <w:p w14:paraId="7EE1C482" w14:textId="02BA384E" w:rsidR="00833D96" w:rsidRDefault="007F081B" w:rsidP="00F100E7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At its most basic, c</w:t>
      </w:r>
      <w:r w:rsidR="00D31820">
        <w:rPr>
          <w:rFonts w:cstheme="minorHAnsi"/>
          <w:bCs/>
          <w:szCs w:val="24"/>
        </w:rPr>
        <w:t xml:space="preserve">ontract grading is an agreement between students and instructors that if students meet certain criteria, they will earn a particular grade. </w:t>
      </w:r>
      <w:r>
        <w:rPr>
          <w:rFonts w:cstheme="minorHAnsi"/>
          <w:bCs/>
          <w:szCs w:val="24"/>
        </w:rPr>
        <w:t>The criteria can vary widely from instructor to instructor. For some instructors, the basic contract articulates the work students will do, rather t</w:t>
      </w:r>
      <w:r w:rsidR="00F21DC9">
        <w:rPr>
          <w:rFonts w:cstheme="minorHAnsi"/>
          <w:bCs/>
          <w:szCs w:val="24"/>
        </w:rPr>
        <w:t xml:space="preserve">han the quality of that work (for example, </w:t>
      </w:r>
      <w:r w:rsidR="00F21DC9">
        <w:rPr>
          <w:rFonts w:cstheme="minorHAnsi"/>
          <w:color w:val="232D4B"/>
        </w:rPr>
        <w:t>Danielewicz and Elbow’s (2009) contract, which indicates that students who</w:t>
      </w:r>
      <w:r>
        <w:rPr>
          <w:rFonts w:cstheme="minorHAnsi"/>
          <w:bCs/>
          <w:szCs w:val="24"/>
        </w:rPr>
        <w:t xml:space="preserve"> complete the listed activities and assignments</w:t>
      </w:r>
      <w:r w:rsidR="00762ED8">
        <w:rPr>
          <w:rFonts w:cstheme="minorHAnsi"/>
          <w:bCs/>
          <w:szCs w:val="24"/>
        </w:rPr>
        <w:t xml:space="preserve"> and make </w:t>
      </w:r>
      <w:r>
        <w:rPr>
          <w:rFonts w:cstheme="minorHAnsi"/>
          <w:bCs/>
          <w:szCs w:val="24"/>
        </w:rPr>
        <w:t>a good faith effort will be guaranteed a B). Any grade above the one articulated in the contract then requires parsing gradations in the quality of student work.</w:t>
      </w:r>
      <w:r w:rsidR="0077414F">
        <w:rPr>
          <w:rFonts w:cstheme="minorHAnsi"/>
          <w:bCs/>
          <w:szCs w:val="24"/>
        </w:rPr>
        <w:t xml:space="preserve"> Some instructors design contracts (or co-design </w:t>
      </w:r>
      <w:r w:rsidR="00B17E5D">
        <w:rPr>
          <w:rFonts w:cstheme="minorHAnsi"/>
          <w:bCs/>
          <w:szCs w:val="24"/>
        </w:rPr>
        <w:t xml:space="preserve">contracts </w:t>
      </w:r>
      <w:r w:rsidR="0077414F">
        <w:rPr>
          <w:rFonts w:cstheme="minorHAnsi"/>
          <w:bCs/>
          <w:szCs w:val="24"/>
        </w:rPr>
        <w:t xml:space="preserve">with students) that are entirely based on the amount of work a student does (aka labor-based grading. See Inoue (2019), for a full explanation and example of labor-based grading). </w:t>
      </w:r>
      <w:r>
        <w:rPr>
          <w:rFonts w:cstheme="minorHAnsi"/>
          <w:bCs/>
          <w:szCs w:val="24"/>
        </w:rPr>
        <w:t xml:space="preserve">For other instructors, standards of quality are part of the contract. Perspectives vary on whether the grading contract should resemble an end-user license agreement for software (in which the user’s only choice is to accept the terms or not use the product), or a fully negotiated contract produced through deliberations between students and instructors. </w:t>
      </w:r>
      <w:r w:rsidR="00D31820">
        <w:rPr>
          <w:rFonts w:cstheme="minorHAnsi"/>
          <w:bCs/>
          <w:szCs w:val="24"/>
        </w:rPr>
        <w:t xml:space="preserve">In </w:t>
      </w:r>
      <w:r>
        <w:rPr>
          <w:rFonts w:cstheme="minorHAnsi"/>
          <w:bCs/>
          <w:szCs w:val="24"/>
        </w:rPr>
        <w:t>contract grading’s</w:t>
      </w:r>
      <w:r w:rsidR="00D31820">
        <w:rPr>
          <w:rFonts w:cstheme="minorHAnsi"/>
          <w:bCs/>
          <w:szCs w:val="24"/>
        </w:rPr>
        <w:t xml:space="preserve"> most complex manifestations, instructors negotiate </w:t>
      </w:r>
      <w:r w:rsidR="00F21DC9">
        <w:rPr>
          <w:rFonts w:cstheme="minorHAnsi"/>
          <w:bCs/>
          <w:szCs w:val="24"/>
        </w:rPr>
        <w:t>an individual contract</w:t>
      </w:r>
      <w:r>
        <w:rPr>
          <w:rFonts w:cstheme="minorHAnsi"/>
          <w:bCs/>
          <w:szCs w:val="24"/>
        </w:rPr>
        <w:t xml:space="preserve"> with each student. </w:t>
      </w:r>
    </w:p>
    <w:p w14:paraId="791973E1" w14:textId="3F6F34DE" w:rsidR="009252AC" w:rsidRPr="009252AC" w:rsidRDefault="009252AC" w:rsidP="00F100E7">
      <w:pPr>
        <w:rPr>
          <w:rFonts w:cstheme="minorHAnsi"/>
          <w:b/>
          <w:bCs/>
          <w:szCs w:val="24"/>
        </w:rPr>
      </w:pPr>
      <w:r w:rsidRPr="009252AC">
        <w:rPr>
          <w:rFonts w:cstheme="minorHAnsi"/>
          <w:b/>
          <w:bCs/>
          <w:szCs w:val="24"/>
        </w:rPr>
        <w:t>Mastery/Standards-Based Grading</w:t>
      </w:r>
    </w:p>
    <w:p w14:paraId="284BEDE2" w14:textId="57F50E16" w:rsidR="009252AC" w:rsidRDefault="009252AC" w:rsidP="00F100E7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Instructors define </w:t>
      </w:r>
      <w:r w:rsidR="00D423A4">
        <w:rPr>
          <w:rFonts w:cstheme="minorHAnsi"/>
          <w:bCs/>
          <w:szCs w:val="24"/>
        </w:rPr>
        <w:t>specific skills and/or areas of conceptual understanding that students must master. These</w:t>
      </w:r>
      <w:r w:rsidR="00080DB6">
        <w:rPr>
          <w:rFonts w:cstheme="minorHAnsi"/>
          <w:bCs/>
          <w:szCs w:val="24"/>
        </w:rPr>
        <w:t xml:space="preserve"> definitions should be concrete, </w:t>
      </w:r>
      <w:r w:rsidR="00B17E5D">
        <w:rPr>
          <w:rFonts w:cstheme="minorHAnsi"/>
          <w:bCs/>
          <w:szCs w:val="24"/>
        </w:rPr>
        <w:t>granular</w:t>
      </w:r>
      <w:r w:rsidR="00080DB6">
        <w:rPr>
          <w:rFonts w:cstheme="minorHAnsi"/>
          <w:bCs/>
          <w:szCs w:val="24"/>
        </w:rPr>
        <w:t>, and well-aligned with the course learning objectives.</w:t>
      </w:r>
      <w:r w:rsidR="00D423A4">
        <w:rPr>
          <w:rFonts w:cstheme="minorHAnsi"/>
          <w:bCs/>
          <w:szCs w:val="24"/>
        </w:rPr>
        <w:t xml:space="preserve"> </w:t>
      </w:r>
      <w:r w:rsidR="00080DB6">
        <w:rPr>
          <w:rFonts w:cstheme="minorHAnsi"/>
          <w:bCs/>
          <w:szCs w:val="24"/>
        </w:rPr>
        <w:lastRenderedPageBreak/>
        <w:t xml:space="preserve">Often, these skills are grouped thematically (for example, Heubach and Krinsky (2020) grouped standards for an intro statistics course into “Descriptive </w:t>
      </w:r>
      <w:r w:rsidR="00DB1851">
        <w:rPr>
          <w:rFonts w:cstheme="minorHAnsi"/>
          <w:bCs/>
          <w:szCs w:val="24"/>
        </w:rPr>
        <w:t>S</w:t>
      </w:r>
      <w:r w:rsidR="00080DB6">
        <w:rPr>
          <w:rFonts w:cstheme="minorHAnsi"/>
          <w:bCs/>
          <w:szCs w:val="24"/>
        </w:rPr>
        <w:t>tatistics” and “Inferential Statistics” categories). The instructor must also define</w:t>
      </w:r>
      <w:r w:rsidR="00D423A4">
        <w:rPr>
          <w:rFonts w:cstheme="minorHAnsi"/>
          <w:bCs/>
          <w:szCs w:val="24"/>
        </w:rPr>
        <w:t xml:space="preserve"> degrees of mastery (ex: below mastery (B), near mastery (N), mastered (M), exceeds expectations (E)). Students earn a grade in the course by demonstrating a degree of mastery over various combinations of skills. For example, to earn a B in a course, a student may need to earn at least an M in 8 of 10 skills within</w:t>
      </w:r>
      <w:r w:rsidR="00080DB6">
        <w:rPr>
          <w:rFonts w:cstheme="minorHAnsi"/>
          <w:bCs/>
          <w:szCs w:val="24"/>
        </w:rPr>
        <w:t xml:space="preserve"> a certain category, whereas to earn an A, a student needs to earn</w:t>
      </w:r>
      <w:r w:rsidR="00F21DC9">
        <w:rPr>
          <w:rFonts w:cstheme="minorHAnsi"/>
          <w:bCs/>
          <w:szCs w:val="24"/>
        </w:rPr>
        <w:t xml:space="preserve"> an E in 7 of 10 skills and an M</w:t>
      </w:r>
      <w:r w:rsidR="00080DB6">
        <w:rPr>
          <w:rFonts w:cstheme="minorHAnsi"/>
          <w:bCs/>
          <w:szCs w:val="24"/>
        </w:rPr>
        <w:t xml:space="preserve"> in the </w:t>
      </w:r>
      <w:r w:rsidR="00F21DC9">
        <w:rPr>
          <w:rFonts w:cstheme="minorHAnsi"/>
          <w:bCs/>
          <w:szCs w:val="24"/>
        </w:rPr>
        <w:t>remaining</w:t>
      </w:r>
      <w:r w:rsidR="00080DB6">
        <w:rPr>
          <w:rFonts w:cstheme="minorHAnsi"/>
          <w:bCs/>
          <w:szCs w:val="24"/>
        </w:rPr>
        <w:t xml:space="preserve"> 3. The key difference between mastery-based grading and specifications grading is whether assessm</w:t>
      </w:r>
      <w:r w:rsidR="00181131">
        <w:rPr>
          <w:rFonts w:cstheme="minorHAnsi"/>
          <w:bCs/>
          <w:szCs w:val="24"/>
        </w:rPr>
        <w:t>e</w:t>
      </w:r>
      <w:r w:rsidR="00080DB6">
        <w:rPr>
          <w:rFonts w:cstheme="minorHAnsi"/>
          <w:bCs/>
          <w:szCs w:val="24"/>
        </w:rPr>
        <w:t xml:space="preserve">nt occurs at the assignment level or the skill level. A single assignment can assess several skills. In specifications grading, a student </w:t>
      </w:r>
      <w:r w:rsidR="00B17E5D">
        <w:rPr>
          <w:rFonts w:cstheme="minorHAnsi"/>
          <w:bCs/>
          <w:szCs w:val="24"/>
        </w:rPr>
        <w:t>meets</w:t>
      </w:r>
      <w:r w:rsidR="00080DB6">
        <w:rPr>
          <w:rFonts w:cstheme="minorHAnsi"/>
          <w:bCs/>
          <w:szCs w:val="24"/>
        </w:rPr>
        <w:t xml:space="preserve">/does not meet </w:t>
      </w:r>
      <w:r w:rsidR="00762ED8">
        <w:rPr>
          <w:rFonts w:cstheme="minorHAnsi"/>
          <w:bCs/>
          <w:szCs w:val="24"/>
        </w:rPr>
        <w:t xml:space="preserve">the </w:t>
      </w:r>
      <w:r w:rsidR="00080DB6">
        <w:rPr>
          <w:rFonts w:cstheme="minorHAnsi"/>
          <w:bCs/>
          <w:szCs w:val="24"/>
        </w:rPr>
        <w:t xml:space="preserve">expectations </w:t>
      </w:r>
      <w:r w:rsidR="00762ED8">
        <w:rPr>
          <w:rFonts w:cstheme="minorHAnsi"/>
          <w:bCs/>
          <w:szCs w:val="24"/>
        </w:rPr>
        <w:t>of</w:t>
      </w:r>
      <w:r w:rsidR="00080DB6">
        <w:rPr>
          <w:rFonts w:cstheme="minorHAnsi"/>
          <w:bCs/>
          <w:szCs w:val="24"/>
        </w:rPr>
        <w:t xml:space="preserve"> the assignment as a whole, whereas in mastery grading, </w:t>
      </w:r>
      <w:r w:rsidR="00181131">
        <w:rPr>
          <w:rFonts w:cstheme="minorHAnsi"/>
          <w:bCs/>
          <w:szCs w:val="24"/>
        </w:rPr>
        <w:t xml:space="preserve">an assignment can be </w:t>
      </w:r>
      <w:r w:rsidR="00B17E5D">
        <w:rPr>
          <w:rFonts w:cstheme="minorHAnsi"/>
          <w:bCs/>
          <w:szCs w:val="24"/>
        </w:rPr>
        <w:t>broken</w:t>
      </w:r>
      <w:r w:rsidR="00181131">
        <w:rPr>
          <w:rFonts w:cstheme="minorHAnsi"/>
          <w:bCs/>
          <w:szCs w:val="24"/>
        </w:rPr>
        <w:t xml:space="preserve"> in</w:t>
      </w:r>
      <w:r w:rsidR="00B17E5D">
        <w:rPr>
          <w:rFonts w:cstheme="minorHAnsi"/>
          <w:bCs/>
          <w:szCs w:val="24"/>
        </w:rPr>
        <w:t>to</w:t>
      </w:r>
      <w:r w:rsidR="00181131">
        <w:rPr>
          <w:rFonts w:cstheme="minorHAnsi"/>
          <w:bCs/>
          <w:szCs w:val="24"/>
        </w:rPr>
        <w:t xml:space="preserve"> separate components that represent</w:t>
      </w:r>
      <w:r w:rsidR="00080DB6">
        <w:rPr>
          <w:rFonts w:cstheme="minorHAnsi"/>
          <w:bCs/>
          <w:szCs w:val="24"/>
        </w:rPr>
        <w:t xml:space="preserve"> specific skills.</w:t>
      </w:r>
    </w:p>
    <w:p w14:paraId="17CDBFF3" w14:textId="139CF694" w:rsidR="00384ECD" w:rsidRPr="007478CA" w:rsidRDefault="007478CA" w:rsidP="00F100E7">
      <w:pPr>
        <w:rPr>
          <w:rFonts w:cstheme="minorHAnsi"/>
          <w:b/>
          <w:bCs/>
          <w:szCs w:val="24"/>
        </w:rPr>
      </w:pPr>
      <w:r w:rsidRPr="007478CA">
        <w:rPr>
          <w:rFonts w:cstheme="minorHAnsi"/>
          <w:b/>
          <w:bCs/>
          <w:szCs w:val="24"/>
        </w:rPr>
        <w:t>Portfolio</w:t>
      </w:r>
      <w:r w:rsidR="00384ECD" w:rsidRPr="007478CA">
        <w:rPr>
          <w:rFonts w:cstheme="minorHAnsi"/>
          <w:b/>
          <w:bCs/>
          <w:szCs w:val="24"/>
        </w:rPr>
        <w:t xml:space="preserve"> Grading</w:t>
      </w:r>
      <w:r w:rsidR="00DB1851">
        <w:rPr>
          <w:rFonts w:cstheme="minorHAnsi"/>
          <w:b/>
          <w:bCs/>
          <w:szCs w:val="24"/>
        </w:rPr>
        <w:t xml:space="preserve"> / Holistic Grading / </w:t>
      </w:r>
      <w:proofErr w:type="spellStart"/>
      <w:r w:rsidR="00DB1851">
        <w:rPr>
          <w:rFonts w:cstheme="minorHAnsi"/>
          <w:b/>
          <w:bCs/>
          <w:szCs w:val="24"/>
        </w:rPr>
        <w:t>Ungrading</w:t>
      </w:r>
      <w:proofErr w:type="spellEnd"/>
    </w:p>
    <w:p w14:paraId="039A1519" w14:textId="09079C37" w:rsidR="007478CA" w:rsidRPr="00384ECD" w:rsidRDefault="007478CA" w:rsidP="00F100E7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Portfolio-based grading systems</w:t>
      </w:r>
      <w:r w:rsidR="00762ED8">
        <w:rPr>
          <w:rFonts w:cstheme="minorHAnsi"/>
          <w:bCs/>
          <w:szCs w:val="24"/>
        </w:rPr>
        <w:t xml:space="preserve">, aka Holistic Grading or </w:t>
      </w:r>
      <w:proofErr w:type="spellStart"/>
      <w:r w:rsidR="00762ED8">
        <w:rPr>
          <w:rFonts w:cstheme="minorHAnsi"/>
          <w:bCs/>
          <w:szCs w:val="24"/>
        </w:rPr>
        <w:t>Ungrading</w:t>
      </w:r>
      <w:proofErr w:type="spellEnd"/>
      <w:r w:rsidR="00762ED8">
        <w:rPr>
          <w:rFonts w:cstheme="minorHAnsi"/>
          <w:bCs/>
          <w:szCs w:val="24"/>
        </w:rPr>
        <w:t>,</w:t>
      </w:r>
      <w:r>
        <w:rPr>
          <w:rFonts w:cstheme="minorHAnsi"/>
          <w:bCs/>
          <w:szCs w:val="24"/>
        </w:rPr>
        <w:t xml:space="preserve"> prioritize a process-oriented approach to evaluation</w:t>
      </w:r>
      <w:r w:rsidR="00125267">
        <w:rPr>
          <w:rFonts w:cstheme="minorHAnsi"/>
          <w:bCs/>
          <w:szCs w:val="24"/>
        </w:rPr>
        <w:t>. They take</w:t>
      </w:r>
      <w:r>
        <w:rPr>
          <w:rFonts w:cstheme="minorHAnsi"/>
          <w:bCs/>
          <w:szCs w:val="24"/>
        </w:rPr>
        <w:t xml:space="preserve"> a holistic look at students’ development and learning throughout a course, as represented by </w:t>
      </w:r>
      <w:r w:rsidR="00DB1851">
        <w:rPr>
          <w:rFonts w:cstheme="minorHAnsi"/>
          <w:bCs/>
          <w:szCs w:val="24"/>
        </w:rPr>
        <w:t>the entirety of a students’ work (often collected in a portfolio)</w:t>
      </w:r>
      <w:r>
        <w:rPr>
          <w:rFonts w:cstheme="minorHAnsi"/>
          <w:bCs/>
          <w:szCs w:val="24"/>
        </w:rPr>
        <w:t xml:space="preserve">. There are few rules and structures that define </w:t>
      </w:r>
      <w:r w:rsidR="00DB1851">
        <w:rPr>
          <w:rFonts w:cstheme="minorHAnsi"/>
          <w:bCs/>
          <w:szCs w:val="24"/>
        </w:rPr>
        <w:t>these</w:t>
      </w:r>
      <w:r>
        <w:rPr>
          <w:rFonts w:cstheme="minorHAnsi"/>
          <w:bCs/>
          <w:szCs w:val="24"/>
        </w:rPr>
        <w:t xml:space="preserve"> grading systems, but </w:t>
      </w:r>
      <w:r w:rsidR="00000D20">
        <w:rPr>
          <w:rFonts w:cstheme="minorHAnsi"/>
          <w:bCs/>
          <w:szCs w:val="24"/>
        </w:rPr>
        <w:t>typically</w:t>
      </w:r>
      <w:r>
        <w:rPr>
          <w:rFonts w:cstheme="minorHAnsi"/>
          <w:bCs/>
          <w:szCs w:val="24"/>
        </w:rPr>
        <w:t xml:space="preserve">, individual projects and assignments do not receive grades. Rather, students revise assignments across the course of the semester, in response to instructor and peer feedback. </w:t>
      </w:r>
      <w:r w:rsidR="00DB1851">
        <w:rPr>
          <w:rFonts w:cstheme="minorHAnsi"/>
          <w:bCs/>
          <w:szCs w:val="24"/>
        </w:rPr>
        <w:t>Students’</w:t>
      </w:r>
      <w:r>
        <w:rPr>
          <w:rFonts w:cstheme="minorHAnsi"/>
          <w:bCs/>
          <w:szCs w:val="24"/>
        </w:rPr>
        <w:t xml:space="preserve"> reflections on their progress and their learning processes are an integral part of the </w:t>
      </w:r>
      <w:r w:rsidR="00DB1851">
        <w:rPr>
          <w:rFonts w:cstheme="minorHAnsi"/>
          <w:bCs/>
          <w:szCs w:val="24"/>
        </w:rPr>
        <w:t xml:space="preserve">portfolio. </w:t>
      </w:r>
      <w:r>
        <w:rPr>
          <w:rFonts w:cstheme="minorHAnsi"/>
          <w:bCs/>
          <w:szCs w:val="24"/>
        </w:rPr>
        <w:t xml:space="preserve">Students select works to include in their portfolio that illustrate their learning across the course. </w:t>
      </w:r>
      <w:r w:rsidR="00DB1851">
        <w:rPr>
          <w:rFonts w:cstheme="minorHAnsi"/>
          <w:bCs/>
          <w:szCs w:val="24"/>
        </w:rPr>
        <w:t xml:space="preserve">There is great variability in how the final course grade is determined: some instructors </w:t>
      </w:r>
      <w:r w:rsidR="00762ED8">
        <w:rPr>
          <w:rFonts w:cstheme="minorHAnsi"/>
          <w:bCs/>
          <w:szCs w:val="24"/>
        </w:rPr>
        <w:t xml:space="preserve">determine grades </w:t>
      </w:r>
      <w:r w:rsidR="00DB1851">
        <w:rPr>
          <w:rFonts w:cstheme="minorHAnsi"/>
          <w:bCs/>
          <w:szCs w:val="24"/>
        </w:rPr>
        <w:t xml:space="preserve">through a conversation with each student, others will incorporate an element of peer evaluation, </w:t>
      </w:r>
      <w:r w:rsidR="00000D20">
        <w:rPr>
          <w:rFonts w:cstheme="minorHAnsi"/>
          <w:bCs/>
          <w:szCs w:val="24"/>
        </w:rPr>
        <w:t>yet</w:t>
      </w:r>
      <w:r w:rsidR="00DB1851">
        <w:rPr>
          <w:rFonts w:cstheme="minorHAnsi"/>
          <w:bCs/>
          <w:szCs w:val="24"/>
        </w:rPr>
        <w:t xml:space="preserve"> others will review the contents of a students’ portfolios and the degree to which their reflections demonstrate self-awareness and </w:t>
      </w:r>
      <w:r w:rsidR="00000D20">
        <w:rPr>
          <w:rFonts w:cstheme="minorHAnsi"/>
          <w:bCs/>
          <w:szCs w:val="24"/>
        </w:rPr>
        <w:t>skill development over time</w:t>
      </w:r>
      <w:r w:rsidR="00DB1851">
        <w:rPr>
          <w:rFonts w:cstheme="minorHAnsi"/>
          <w:bCs/>
          <w:szCs w:val="24"/>
        </w:rPr>
        <w:t xml:space="preserve">. Instructors may combine </w:t>
      </w:r>
      <w:r w:rsidR="00762ED8">
        <w:rPr>
          <w:rFonts w:cstheme="minorHAnsi"/>
          <w:bCs/>
          <w:szCs w:val="24"/>
        </w:rPr>
        <w:t>multiple</w:t>
      </w:r>
      <w:r w:rsidR="00000D20">
        <w:rPr>
          <w:rFonts w:cstheme="minorHAnsi"/>
          <w:bCs/>
          <w:szCs w:val="24"/>
        </w:rPr>
        <w:t xml:space="preserve"> of these processes or invent others.</w:t>
      </w:r>
    </w:p>
    <w:p w14:paraId="00290C0C" w14:textId="42064EC8" w:rsidR="00B42FA4" w:rsidRPr="00E45700" w:rsidRDefault="00E45700" w:rsidP="00F100E7">
      <w:pPr>
        <w:rPr>
          <w:rFonts w:cstheme="minorHAnsi"/>
          <w:b/>
          <w:color w:val="232D4B"/>
          <w:szCs w:val="24"/>
        </w:rPr>
      </w:pPr>
      <w:r w:rsidRPr="00E45700">
        <w:rPr>
          <w:rFonts w:cstheme="minorHAnsi"/>
          <w:b/>
          <w:color w:val="232D4B"/>
          <w:szCs w:val="24"/>
        </w:rPr>
        <w:t>Alternative Grading Scheme Comparisons and Contrasts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896"/>
        <w:gridCol w:w="1788"/>
        <w:gridCol w:w="1987"/>
        <w:gridCol w:w="1788"/>
      </w:tblGrid>
      <w:tr w:rsidR="00080DB6" w14:paraId="23BB2A61" w14:textId="77777777" w:rsidTr="00B17E5D">
        <w:tc>
          <w:tcPr>
            <w:tcW w:w="1891" w:type="dxa"/>
          </w:tcPr>
          <w:p w14:paraId="0FDF8FDA" w14:textId="77777777" w:rsidR="00080DB6" w:rsidRPr="00E45700" w:rsidRDefault="00080DB6" w:rsidP="00F100E7">
            <w:pPr>
              <w:rPr>
                <w:rFonts w:cstheme="minorHAnsi"/>
                <w:color w:val="232D4B"/>
              </w:rPr>
            </w:pPr>
          </w:p>
        </w:tc>
        <w:tc>
          <w:tcPr>
            <w:tcW w:w="1896" w:type="dxa"/>
          </w:tcPr>
          <w:p w14:paraId="0E9E65C1" w14:textId="65458631" w:rsidR="00080DB6" w:rsidRPr="00E45700" w:rsidRDefault="00080DB6" w:rsidP="00E45700">
            <w:pPr>
              <w:jc w:val="center"/>
              <w:rPr>
                <w:rFonts w:cstheme="minorHAnsi"/>
                <w:b/>
                <w:color w:val="232D4B"/>
              </w:rPr>
            </w:pPr>
            <w:r w:rsidRPr="00E45700">
              <w:rPr>
                <w:rFonts w:cstheme="minorHAnsi"/>
                <w:b/>
                <w:color w:val="232D4B"/>
              </w:rPr>
              <w:t>Specifications Grading</w:t>
            </w:r>
          </w:p>
        </w:tc>
        <w:tc>
          <w:tcPr>
            <w:tcW w:w="1788" w:type="dxa"/>
          </w:tcPr>
          <w:p w14:paraId="6DB2627F" w14:textId="7D3BF1BF" w:rsidR="00080DB6" w:rsidRPr="00E45700" w:rsidRDefault="00080DB6" w:rsidP="00E45700">
            <w:pPr>
              <w:jc w:val="center"/>
              <w:rPr>
                <w:rFonts w:cstheme="minorHAnsi"/>
                <w:b/>
                <w:color w:val="232D4B"/>
              </w:rPr>
            </w:pPr>
            <w:r w:rsidRPr="00E45700">
              <w:rPr>
                <w:rFonts w:cstheme="minorHAnsi"/>
                <w:b/>
                <w:color w:val="232D4B"/>
              </w:rPr>
              <w:t>Contract Grading</w:t>
            </w:r>
          </w:p>
        </w:tc>
        <w:tc>
          <w:tcPr>
            <w:tcW w:w="1987" w:type="dxa"/>
          </w:tcPr>
          <w:p w14:paraId="039D39B8" w14:textId="3953D5BB" w:rsidR="00080DB6" w:rsidRPr="00E45700" w:rsidRDefault="00080DB6" w:rsidP="00E45700">
            <w:pPr>
              <w:jc w:val="center"/>
              <w:rPr>
                <w:rFonts w:cstheme="minorHAnsi"/>
                <w:b/>
                <w:color w:val="232D4B"/>
              </w:rPr>
            </w:pPr>
            <w:r>
              <w:rPr>
                <w:rFonts w:cstheme="minorHAnsi"/>
                <w:b/>
                <w:color w:val="232D4B"/>
              </w:rPr>
              <w:t>Mastery/Standards Based Grading</w:t>
            </w:r>
          </w:p>
        </w:tc>
        <w:tc>
          <w:tcPr>
            <w:tcW w:w="1788" w:type="dxa"/>
          </w:tcPr>
          <w:p w14:paraId="6F79839E" w14:textId="5ED72767" w:rsidR="00080DB6" w:rsidRPr="00E45700" w:rsidRDefault="00080DB6" w:rsidP="00E45700">
            <w:pPr>
              <w:jc w:val="center"/>
              <w:rPr>
                <w:rFonts w:cstheme="minorHAnsi"/>
                <w:b/>
                <w:color w:val="232D4B"/>
              </w:rPr>
            </w:pPr>
            <w:r w:rsidRPr="00E45700">
              <w:rPr>
                <w:rFonts w:cstheme="minorHAnsi"/>
                <w:b/>
                <w:color w:val="232D4B"/>
              </w:rPr>
              <w:t>Portfolio</w:t>
            </w:r>
            <w:r w:rsidR="00DB1851">
              <w:rPr>
                <w:rFonts w:cstheme="minorHAnsi"/>
                <w:b/>
                <w:color w:val="232D4B"/>
              </w:rPr>
              <w:t xml:space="preserve"> / Holistic</w:t>
            </w:r>
            <w:r w:rsidRPr="00E45700">
              <w:rPr>
                <w:rFonts w:cstheme="minorHAnsi"/>
                <w:b/>
                <w:color w:val="232D4B"/>
              </w:rPr>
              <w:t xml:space="preserve"> Grading</w:t>
            </w:r>
          </w:p>
        </w:tc>
      </w:tr>
      <w:tr w:rsidR="00080DB6" w14:paraId="23A8B854" w14:textId="77777777" w:rsidTr="00B17E5D">
        <w:tc>
          <w:tcPr>
            <w:tcW w:w="1891" w:type="dxa"/>
          </w:tcPr>
          <w:p w14:paraId="2EE36822" w14:textId="76D6F724" w:rsidR="00080DB6" w:rsidRPr="00E45700" w:rsidRDefault="00080DB6" w:rsidP="00F100E7">
            <w:pPr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Opportunities for revision</w:t>
            </w:r>
          </w:p>
        </w:tc>
        <w:tc>
          <w:tcPr>
            <w:tcW w:w="1896" w:type="dxa"/>
          </w:tcPr>
          <w:p w14:paraId="651EA91B" w14:textId="05CCB873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Yes</w:t>
            </w:r>
          </w:p>
        </w:tc>
        <w:tc>
          <w:tcPr>
            <w:tcW w:w="1788" w:type="dxa"/>
          </w:tcPr>
          <w:p w14:paraId="644A58F5" w14:textId="7C7AABAA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Yes</w:t>
            </w:r>
          </w:p>
        </w:tc>
        <w:tc>
          <w:tcPr>
            <w:tcW w:w="1987" w:type="dxa"/>
          </w:tcPr>
          <w:p w14:paraId="43773034" w14:textId="084B91B6" w:rsidR="00080DB6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Yes</w:t>
            </w:r>
          </w:p>
        </w:tc>
        <w:tc>
          <w:tcPr>
            <w:tcW w:w="1788" w:type="dxa"/>
          </w:tcPr>
          <w:p w14:paraId="13439B47" w14:textId="50D62C88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Yes</w:t>
            </w:r>
          </w:p>
        </w:tc>
      </w:tr>
      <w:tr w:rsidR="00080DB6" w14:paraId="6AC38B55" w14:textId="77777777" w:rsidTr="00B17E5D">
        <w:tc>
          <w:tcPr>
            <w:tcW w:w="1891" w:type="dxa"/>
          </w:tcPr>
          <w:p w14:paraId="1AB43793" w14:textId="765A8DBF" w:rsidR="00080DB6" w:rsidRPr="00E45700" w:rsidRDefault="00080DB6" w:rsidP="00F100E7">
            <w:pPr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Letter grades given on assignments</w:t>
            </w:r>
          </w:p>
        </w:tc>
        <w:tc>
          <w:tcPr>
            <w:tcW w:w="1896" w:type="dxa"/>
          </w:tcPr>
          <w:p w14:paraId="0EC4B9B4" w14:textId="62458EC2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No</w:t>
            </w:r>
          </w:p>
        </w:tc>
        <w:tc>
          <w:tcPr>
            <w:tcW w:w="1788" w:type="dxa"/>
          </w:tcPr>
          <w:p w14:paraId="2C14E3D1" w14:textId="442B1593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Depends on the design</w:t>
            </w:r>
          </w:p>
        </w:tc>
        <w:tc>
          <w:tcPr>
            <w:tcW w:w="1987" w:type="dxa"/>
          </w:tcPr>
          <w:p w14:paraId="475E8E9E" w14:textId="0B0E35FA" w:rsidR="00080DB6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No</w:t>
            </w:r>
          </w:p>
        </w:tc>
        <w:tc>
          <w:tcPr>
            <w:tcW w:w="1788" w:type="dxa"/>
          </w:tcPr>
          <w:p w14:paraId="38748FF5" w14:textId="197916DC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Depends on the design</w:t>
            </w:r>
            <w:r w:rsidR="00DB1851">
              <w:rPr>
                <w:rFonts w:cstheme="minorHAnsi"/>
                <w:color w:val="232D4B"/>
              </w:rPr>
              <w:t xml:space="preserve">; </w:t>
            </w:r>
            <w:proofErr w:type="gramStart"/>
            <w:r w:rsidR="00DB1851">
              <w:rPr>
                <w:rFonts w:cstheme="minorHAnsi"/>
                <w:color w:val="232D4B"/>
              </w:rPr>
              <w:t>typically</w:t>
            </w:r>
            <w:proofErr w:type="gramEnd"/>
            <w:r w:rsidR="00DB1851">
              <w:rPr>
                <w:rFonts w:cstheme="minorHAnsi"/>
                <w:color w:val="232D4B"/>
              </w:rPr>
              <w:t xml:space="preserve"> not</w:t>
            </w:r>
          </w:p>
        </w:tc>
      </w:tr>
      <w:tr w:rsidR="00080DB6" w14:paraId="74383081" w14:textId="77777777" w:rsidTr="00B17E5D">
        <w:tc>
          <w:tcPr>
            <w:tcW w:w="1891" w:type="dxa"/>
          </w:tcPr>
          <w:p w14:paraId="6AC53A35" w14:textId="07A12E15" w:rsidR="00080DB6" w:rsidRPr="00E45700" w:rsidRDefault="00080DB6" w:rsidP="00F100E7">
            <w:pPr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Evaluation criteria co-designed with students</w:t>
            </w:r>
          </w:p>
        </w:tc>
        <w:tc>
          <w:tcPr>
            <w:tcW w:w="1896" w:type="dxa"/>
          </w:tcPr>
          <w:p w14:paraId="2B56E689" w14:textId="46CCE030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Possible but not required</w:t>
            </w:r>
          </w:p>
        </w:tc>
        <w:tc>
          <w:tcPr>
            <w:tcW w:w="1788" w:type="dxa"/>
          </w:tcPr>
          <w:p w14:paraId="3FD6E32C" w14:textId="23B8C42E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Possible but not required</w:t>
            </w:r>
          </w:p>
        </w:tc>
        <w:tc>
          <w:tcPr>
            <w:tcW w:w="1987" w:type="dxa"/>
          </w:tcPr>
          <w:p w14:paraId="2C33AD73" w14:textId="74FB77CC" w:rsidR="00080DB6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Not typical, but possible</w:t>
            </w:r>
          </w:p>
        </w:tc>
        <w:tc>
          <w:tcPr>
            <w:tcW w:w="1788" w:type="dxa"/>
          </w:tcPr>
          <w:p w14:paraId="31D5DAD0" w14:textId="119214C6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Possible but not required</w:t>
            </w:r>
          </w:p>
        </w:tc>
      </w:tr>
      <w:tr w:rsidR="00080DB6" w14:paraId="0EF17860" w14:textId="77777777" w:rsidTr="00B17E5D">
        <w:tc>
          <w:tcPr>
            <w:tcW w:w="1891" w:type="dxa"/>
          </w:tcPr>
          <w:p w14:paraId="2AA9C7FD" w14:textId="471D02C1" w:rsidR="00080DB6" w:rsidRPr="00E45700" w:rsidRDefault="00080DB6" w:rsidP="00F100E7">
            <w:pPr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Holistic evaluation criteria</w:t>
            </w:r>
          </w:p>
        </w:tc>
        <w:tc>
          <w:tcPr>
            <w:tcW w:w="1896" w:type="dxa"/>
          </w:tcPr>
          <w:p w14:paraId="4E6A09F4" w14:textId="4462D399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Yes</w:t>
            </w:r>
          </w:p>
        </w:tc>
        <w:tc>
          <w:tcPr>
            <w:tcW w:w="1788" w:type="dxa"/>
          </w:tcPr>
          <w:p w14:paraId="550CB5B3" w14:textId="1D91E2DA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Depends on the design</w:t>
            </w:r>
          </w:p>
        </w:tc>
        <w:tc>
          <w:tcPr>
            <w:tcW w:w="1987" w:type="dxa"/>
          </w:tcPr>
          <w:p w14:paraId="55770EE1" w14:textId="2620A569" w:rsidR="00080DB6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No</w:t>
            </w:r>
          </w:p>
        </w:tc>
        <w:tc>
          <w:tcPr>
            <w:tcW w:w="1788" w:type="dxa"/>
          </w:tcPr>
          <w:p w14:paraId="63A3689F" w14:textId="5591CD1F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Depends on the design</w:t>
            </w:r>
          </w:p>
        </w:tc>
      </w:tr>
      <w:tr w:rsidR="00080DB6" w14:paraId="04B6981E" w14:textId="77777777" w:rsidTr="00B17E5D">
        <w:tc>
          <w:tcPr>
            <w:tcW w:w="1891" w:type="dxa"/>
          </w:tcPr>
          <w:p w14:paraId="60A3C1D5" w14:textId="589B2CCE" w:rsidR="00080DB6" w:rsidRPr="00E45700" w:rsidRDefault="00080DB6" w:rsidP="00F100E7">
            <w:pPr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Evaluation based on completion or quality</w:t>
            </w:r>
          </w:p>
        </w:tc>
        <w:tc>
          <w:tcPr>
            <w:tcW w:w="1896" w:type="dxa"/>
          </w:tcPr>
          <w:p w14:paraId="054FE2BF" w14:textId="69F8E721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Both</w:t>
            </w:r>
          </w:p>
        </w:tc>
        <w:tc>
          <w:tcPr>
            <w:tcW w:w="1788" w:type="dxa"/>
          </w:tcPr>
          <w:p w14:paraId="64BA6F1C" w14:textId="3FCB131B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Either/Both</w:t>
            </w:r>
          </w:p>
        </w:tc>
        <w:tc>
          <w:tcPr>
            <w:tcW w:w="1987" w:type="dxa"/>
          </w:tcPr>
          <w:p w14:paraId="566C4A0C" w14:textId="550BBB67" w:rsidR="00080DB6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No</w:t>
            </w:r>
          </w:p>
        </w:tc>
        <w:tc>
          <w:tcPr>
            <w:tcW w:w="1788" w:type="dxa"/>
          </w:tcPr>
          <w:p w14:paraId="5F456813" w14:textId="5382A7CD" w:rsidR="00080DB6" w:rsidRPr="00E45700" w:rsidRDefault="00080DB6" w:rsidP="00E45700">
            <w:pPr>
              <w:jc w:val="center"/>
              <w:rPr>
                <w:rFonts w:cstheme="minorHAnsi"/>
                <w:color w:val="232D4B"/>
              </w:rPr>
            </w:pPr>
            <w:r>
              <w:rPr>
                <w:rFonts w:cstheme="minorHAnsi"/>
                <w:color w:val="232D4B"/>
              </w:rPr>
              <w:t>Either/Both</w:t>
            </w:r>
          </w:p>
        </w:tc>
      </w:tr>
    </w:tbl>
    <w:p w14:paraId="7A781A5C" w14:textId="6C9823F2" w:rsidR="00B42FA4" w:rsidRPr="002813B2" w:rsidRDefault="00B42FA4" w:rsidP="00F100E7">
      <w:pPr>
        <w:rPr>
          <w:rFonts w:ascii="ITC Franklin Gothic Std Bk Cd" w:hAnsi="ITC Franklin Gothic Std Bk Cd"/>
          <w:color w:val="232D4B"/>
        </w:rPr>
      </w:pPr>
    </w:p>
    <w:p w14:paraId="4EB81BA0" w14:textId="77777777" w:rsidR="00B17E5D" w:rsidRDefault="00B17E5D" w:rsidP="00F100E7">
      <w:pPr>
        <w:rPr>
          <w:rFonts w:cstheme="minorHAnsi"/>
          <w:b/>
          <w:color w:val="232D4B"/>
        </w:rPr>
      </w:pPr>
    </w:p>
    <w:p w14:paraId="23A7E3BE" w14:textId="7302D527" w:rsidR="00B42FA4" w:rsidRPr="000419E9" w:rsidRDefault="000419E9" w:rsidP="00F100E7">
      <w:pPr>
        <w:rPr>
          <w:rFonts w:cstheme="minorHAnsi"/>
          <w:b/>
          <w:color w:val="232D4B"/>
        </w:rPr>
      </w:pPr>
      <w:r w:rsidRPr="000419E9">
        <w:rPr>
          <w:rFonts w:cstheme="minorHAnsi"/>
          <w:b/>
          <w:color w:val="232D4B"/>
        </w:rPr>
        <w:lastRenderedPageBreak/>
        <w:t>References</w:t>
      </w:r>
      <w:r w:rsidR="0077414F">
        <w:rPr>
          <w:rFonts w:cstheme="minorHAnsi"/>
          <w:b/>
          <w:color w:val="232D4B"/>
        </w:rPr>
        <w:t xml:space="preserve"> and Recommended Readings</w:t>
      </w:r>
    </w:p>
    <w:p w14:paraId="3DCCD9DD" w14:textId="5B5B265D" w:rsidR="00181131" w:rsidRDefault="00181131" w:rsidP="000419E9">
      <w:pPr>
        <w:rPr>
          <w:rFonts w:cstheme="minorHAnsi"/>
          <w:color w:val="232D4B"/>
        </w:rPr>
      </w:pPr>
      <w:r w:rsidRPr="00181131">
        <w:rPr>
          <w:rFonts w:cstheme="minorHAnsi"/>
          <w:color w:val="232D4B"/>
        </w:rPr>
        <w:t xml:space="preserve">Buckmiller, T., Peters, R., &amp; Kruse, J. (2017). Questioning Points and Percentages: Standards-Based Grading (SBG) in Higher Education. </w:t>
      </w:r>
      <w:r w:rsidRPr="00181131">
        <w:rPr>
          <w:rFonts w:cstheme="minorHAnsi"/>
          <w:i/>
          <w:iCs/>
          <w:color w:val="232D4B"/>
        </w:rPr>
        <w:t>College Teaching</w:t>
      </w:r>
      <w:r w:rsidRPr="00181131">
        <w:rPr>
          <w:rFonts w:cstheme="minorHAnsi"/>
          <w:color w:val="232D4B"/>
        </w:rPr>
        <w:t xml:space="preserve">, </w:t>
      </w:r>
      <w:r w:rsidRPr="00181131">
        <w:rPr>
          <w:rFonts w:cstheme="minorHAnsi"/>
          <w:i/>
          <w:iCs/>
          <w:color w:val="232D4B"/>
        </w:rPr>
        <w:t>65</w:t>
      </w:r>
      <w:r w:rsidRPr="00181131">
        <w:rPr>
          <w:rFonts w:cstheme="minorHAnsi"/>
          <w:color w:val="232D4B"/>
        </w:rPr>
        <w:t xml:space="preserve">(4), 151–157. </w:t>
      </w:r>
      <w:hyperlink r:id="rId7" w:history="1">
        <w:r w:rsidRPr="00181131">
          <w:rPr>
            <w:rStyle w:val="Hyperlink"/>
            <w:rFonts w:cstheme="minorHAnsi"/>
          </w:rPr>
          <w:t>https://doi.org/10.1080/87567555.2017.1302919</w:t>
        </w:r>
      </w:hyperlink>
    </w:p>
    <w:p w14:paraId="10574456" w14:textId="139E5FC6" w:rsidR="000419E9" w:rsidRDefault="000419E9" w:rsidP="000419E9">
      <w:pPr>
        <w:rPr>
          <w:rFonts w:cstheme="minorHAnsi"/>
          <w:color w:val="232D4B"/>
        </w:rPr>
      </w:pPr>
      <w:r w:rsidRPr="000419E9">
        <w:rPr>
          <w:rFonts w:cstheme="minorHAnsi"/>
          <w:color w:val="232D4B"/>
        </w:rPr>
        <w:t xml:space="preserve">Danielewicz, J., &amp; Elbow, P. (2009). A Unilateral Grading Contract to Improve Learning and Teaching. </w:t>
      </w:r>
      <w:r w:rsidRPr="000419E9">
        <w:rPr>
          <w:rFonts w:cstheme="minorHAnsi"/>
          <w:i/>
          <w:color w:val="232D4B"/>
        </w:rPr>
        <w:t>College Composition and Communication</w:t>
      </w:r>
      <w:r w:rsidRPr="000419E9">
        <w:rPr>
          <w:rFonts w:cstheme="minorHAnsi"/>
          <w:color w:val="232D4B"/>
        </w:rPr>
        <w:t>, 61(2), 25.</w:t>
      </w:r>
    </w:p>
    <w:p w14:paraId="5C32EF30" w14:textId="66B0B848" w:rsidR="00181131" w:rsidRDefault="00181131" w:rsidP="000419E9">
      <w:pPr>
        <w:rPr>
          <w:rStyle w:val="Hyperlink"/>
          <w:rFonts w:cstheme="minorHAnsi"/>
        </w:rPr>
      </w:pPr>
      <w:r w:rsidRPr="00181131">
        <w:rPr>
          <w:rFonts w:cstheme="minorHAnsi"/>
          <w:color w:val="232D4B"/>
        </w:rPr>
        <w:t>Heubach</w:t>
      </w:r>
      <w:r w:rsidR="007712C0">
        <w:rPr>
          <w:rFonts w:cstheme="minorHAnsi"/>
          <w:color w:val="232D4B"/>
        </w:rPr>
        <w:t>, S.</w:t>
      </w:r>
      <w:r w:rsidRPr="00181131">
        <w:rPr>
          <w:rFonts w:cstheme="minorHAnsi"/>
          <w:color w:val="232D4B"/>
        </w:rPr>
        <w:t xml:space="preserve"> &amp; Krinsky</w:t>
      </w:r>
      <w:r w:rsidR="007712C0">
        <w:rPr>
          <w:rFonts w:cstheme="minorHAnsi"/>
          <w:color w:val="232D4B"/>
        </w:rPr>
        <w:t>, S.</w:t>
      </w:r>
      <w:r w:rsidRPr="00181131">
        <w:rPr>
          <w:rFonts w:cstheme="minorHAnsi"/>
          <w:color w:val="232D4B"/>
        </w:rPr>
        <w:t> (2020) Implementing Mastery-Based Grading at Scale in Introductory Statistics, PRIMUS, 30:8-10, 1054-1070, DOI: </w:t>
      </w:r>
      <w:hyperlink r:id="rId8" w:history="1">
        <w:r w:rsidRPr="00181131">
          <w:rPr>
            <w:rStyle w:val="Hyperlink"/>
            <w:rFonts w:cstheme="minorHAnsi"/>
          </w:rPr>
          <w:t>10.1080/10511970.2019.1700576</w:t>
        </w:r>
      </w:hyperlink>
    </w:p>
    <w:p w14:paraId="22BFDB66" w14:textId="4B03D442" w:rsidR="0077414F" w:rsidRDefault="0077414F" w:rsidP="000419E9">
      <w:pPr>
        <w:rPr>
          <w:rFonts w:cstheme="minorHAnsi"/>
          <w:color w:val="232D4B"/>
        </w:rPr>
      </w:pPr>
      <w:r w:rsidRPr="0077414F">
        <w:rPr>
          <w:rFonts w:cstheme="minorHAnsi"/>
          <w:color w:val="232D4B"/>
        </w:rPr>
        <w:t>Inoue, A. B. (2019). </w:t>
      </w:r>
      <w:r w:rsidRPr="0077414F">
        <w:rPr>
          <w:rFonts w:cstheme="minorHAnsi"/>
          <w:i/>
          <w:iCs/>
          <w:color w:val="232D4B"/>
        </w:rPr>
        <w:t>Labor-based grading contracts: Building equity and inclusion in the compassionate writing classroom</w:t>
      </w:r>
      <w:r w:rsidRPr="0077414F">
        <w:rPr>
          <w:rFonts w:cstheme="minorHAnsi"/>
          <w:color w:val="232D4B"/>
        </w:rPr>
        <w:t>. WAC Clearinghouse. (</w:t>
      </w:r>
      <w:hyperlink r:id="rId9" w:history="1">
        <w:r w:rsidRPr="0077414F">
          <w:rPr>
            <w:rStyle w:val="Hyperlink"/>
            <w:rFonts w:cstheme="minorHAnsi"/>
          </w:rPr>
          <w:t>Web link</w:t>
        </w:r>
      </w:hyperlink>
      <w:r w:rsidRPr="0077414F">
        <w:rPr>
          <w:rFonts w:cstheme="minorHAnsi"/>
          <w:color w:val="232D4B"/>
        </w:rPr>
        <w:t>)</w:t>
      </w:r>
    </w:p>
    <w:p w14:paraId="5B9A6485" w14:textId="6924C9CB" w:rsidR="00D423A4" w:rsidRDefault="00D423A4" w:rsidP="000419E9">
      <w:pPr>
        <w:rPr>
          <w:rFonts w:cstheme="minorHAnsi"/>
          <w:color w:val="232D4B"/>
        </w:rPr>
      </w:pPr>
      <w:r w:rsidRPr="000419E9">
        <w:rPr>
          <w:rFonts w:cstheme="minorHAnsi"/>
          <w:color w:val="232D4B"/>
        </w:rPr>
        <w:t xml:space="preserve">Nilson, L. (2014). </w:t>
      </w:r>
      <w:r w:rsidRPr="000419E9">
        <w:rPr>
          <w:rFonts w:cstheme="minorHAnsi"/>
          <w:i/>
          <w:iCs/>
          <w:color w:val="232D4B"/>
        </w:rPr>
        <w:t>Specifications Grading: Restoring Rigor, Motivating Students, and Saving Faculty Time</w:t>
      </w:r>
      <w:r w:rsidRPr="000419E9">
        <w:rPr>
          <w:rFonts w:cstheme="minorHAnsi"/>
          <w:color w:val="232D4B"/>
        </w:rPr>
        <w:t xml:space="preserve">. Stylus Publishing, LLC. </w:t>
      </w:r>
    </w:p>
    <w:p w14:paraId="00E9D62F" w14:textId="6AFF038A" w:rsidR="000419E9" w:rsidRPr="000419E9" w:rsidRDefault="000419E9" w:rsidP="000419E9">
      <w:pPr>
        <w:rPr>
          <w:rFonts w:cstheme="minorHAnsi"/>
          <w:color w:val="232D4B"/>
        </w:rPr>
      </w:pPr>
      <w:r>
        <w:rPr>
          <w:rFonts w:cstheme="minorHAnsi"/>
          <w:color w:val="232D4B"/>
        </w:rPr>
        <w:t>Shor, I. (2009</w:t>
      </w:r>
      <w:r w:rsidRPr="000419E9">
        <w:rPr>
          <w:rFonts w:cstheme="minorHAnsi"/>
          <w:color w:val="232D4B"/>
        </w:rPr>
        <w:t xml:space="preserve">). Critical Pedagogy Is Too Big to Fail. </w:t>
      </w:r>
      <w:r w:rsidRPr="000419E9">
        <w:rPr>
          <w:rFonts w:cstheme="minorHAnsi"/>
          <w:i/>
          <w:iCs/>
          <w:color w:val="232D4B"/>
        </w:rPr>
        <w:t>Journal of Basic Writing</w:t>
      </w:r>
      <w:r w:rsidRPr="000419E9">
        <w:rPr>
          <w:rFonts w:cstheme="minorHAnsi"/>
          <w:color w:val="232D4B"/>
        </w:rPr>
        <w:t xml:space="preserve">, </w:t>
      </w:r>
      <w:r w:rsidRPr="000419E9">
        <w:rPr>
          <w:rFonts w:cstheme="minorHAnsi"/>
          <w:i/>
          <w:iCs/>
          <w:color w:val="232D4B"/>
        </w:rPr>
        <w:t>28</w:t>
      </w:r>
      <w:r>
        <w:rPr>
          <w:rFonts w:cstheme="minorHAnsi"/>
          <w:color w:val="232D4B"/>
        </w:rPr>
        <w:t>(2)</w:t>
      </w:r>
      <w:r w:rsidRPr="000419E9">
        <w:rPr>
          <w:rFonts w:cstheme="minorHAnsi"/>
          <w:color w:val="232D4B"/>
        </w:rPr>
        <w:t>.</w:t>
      </w:r>
    </w:p>
    <w:p w14:paraId="0D2A3BC4" w14:textId="77777777" w:rsidR="000419E9" w:rsidRPr="000419E9" w:rsidRDefault="000419E9" w:rsidP="000419E9">
      <w:pPr>
        <w:rPr>
          <w:rFonts w:cstheme="minorHAnsi"/>
          <w:color w:val="232D4B"/>
        </w:rPr>
      </w:pPr>
    </w:p>
    <w:p w14:paraId="0CF63E01" w14:textId="77777777" w:rsidR="000419E9" w:rsidRPr="000419E9" w:rsidRDefault="000419E9" w:rsidP="00F100E7">
      <w:pPr>
        <w:rPr>
          <w:rFonts w:cstheme="minorHAnsi"/>
          <w:color w:val="232D4B"/>
        </w:rPr>
      </w:pPr>
    </w:p>
    <w:p w14:paraId="64B1AF69" w14:textId="0FA33DF7" w:rsidR="00B42FA4" w:rsidRPr="002813B2" w:rsidRDefault="00B42FA4" w:rsidP="00F100E7">
      <w:pPr>
        <w:rPr>
          <w:rFonts w:ascii="ITC Franklin Gothic Std Bk Cd" w:hAnsi="ITC Franklin Gothic Std Bk Cd"/>
          <w:color w:val="232D4B"/>
        </w:rPr>
      </w:pPr>
    </w:p>
    <w:p w14:paraId="048CF903" w14:textId="2F39981F" w:rsidR="00B42FA4" w:rsidRDefault="00B42FA4" w:rsidP="00F100E7">
      <w:pPr>
        <w:rPr>
          <w:rFonts w:ascii="ITC Franklin Gothic Std Bk Cd" w:hAnsi="ITC Franklin Gothic Std Bk Cd"/>
          <w:color w:val="232D4B"/>
          <w:sz w:val="24"/>
          <w:szCs w:val="24"/>
        </w:rPr>
      </w:pPr>
    </w:p>
    <w:p w14:paraId="30A3241B" w14:textId="6F1D708B" w:rsidR="00B42FA4" w:rsidRPr="00450A89" w:rsidRDefault="00B42FA4" w:rsidP="003E0189">
      <w:pPr>
        <w:rPr>
          <w:rFonts w:ascii="ITC Franklin Gothic Std Bk Cd" w:hAnsi="ITC Franklin Gothic Std Bk Cd"/>
          <w:color w:val="232D4B"/>
          <w:sz w:val="24"/>
          <w:szCs w:val="24"/>
        </w:rPr>
      </w:pPr>
    </w:p>
    <w:sectPr w:rsidR="00B42FA4" w:rsidRPr="00450A89" w:rsidSect="00473E6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40E1" w14:textId="77777777" w:rsidR="00473E66" w:rsidRDefault="00473E66" w:rsidP="005C6958">
      <w:pPr>
        <w:spacing w:after="0" w:line="240" w:lineRule="auto"/>
      </w:pPr>
      <w:r>
        <w:separator/>
      </w:r>
    </w:p>
  </w:endnote>
  <w:endnote w:type="continuationSeparator" w:id="0">
    <w:p w14:paraId="26CBD6C9" w14:textId="77777777" w:rsidR="00473E66" w:rsidRDefault="00473E66" w:rsidP="005C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ITC Franklin Gothic Std Bk Cd">
    <w:altName w:val="Franklin Gothic Demi Cond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538F" w14:textId="0B0A830C" w:rsidR="002B4030" w:rsidRPr="00353AC4" w:rsidRDefault="002B4030" w:rsidP="003E0189">
    <w:pPr>
      <w:pStyle w:val="Header"/>
      <w:pBdr>
        <w:top w:val="single" w:sz="4" w:space="1" w:color="auto"/>
      </w:pBdr>
      <w:jc w:val="center"/>
      <w:rPr>
        <w:rFonts w:cstheme="minorHAnsi"/>
        <w:sz w:val="20"/>
        <w:szCs w:val="20"/>
      </w:rPr>
    </w:pPr>
    <w:r w:rsidRPr="00353AC4">
      <w:rPr>
        <w:rFonts w:cstheme="minorHAnsi"/>
        <w:sz w:val="20"/>
        <w:szCs w:val="20"/>
      </w:rPr>
      <w:t>University of Virginia | Hotel D, 24 East Range | PO Box 400136</w:t>
    </w:r>
  </w:p>
  <w:p w14:paraId="29F549F9" w14:textId="305DB30E" w:rsidR="002B4030" w:rsidRPr="00353AC4" w:rsidRDefault="002B4030" w:rsidP="00814010">
    <w:pPr>
      <w:pStyle w:val="Header"/>
      <w:jc w:val="center"/>
      <w:rPr>
        <w:rFonts w:cstheme="minorHAnsi"/>
        <w:sz w:val="20"/>
        <w:szCs w:val="20"/>
      </w:rPr>
    </w:pPr>
    <w:r w:rsidRPr="00353AC4">
      <w:rPr>
        <w:rFonts w:cstheme="minorHAnsi"/>
        <w:sz w:val="20"/>
        <w:szCs w:val="20"/>
      </w:rPr>
      <w:t xml:space="preserve">434-982-2815 | </w:t>
    </w:r>
    <w:hyperlink r:id="rId1" w:history="1">
      <w:r w:rsidRPr="00353AC4">
        <w:rPr>
          <w:rStyle w:val="Hyperlink"/>
          <w:rFonts w:cstheme="minorHAnsi"/>
          <w:color w:val="auto"/>
          <w:sz w:val="20"/>
          <w:szCs w:val="20"/>
          <w:u w:val="none"/>
        </w:rPr>
        <w:t>cte-uva@virginia.edu</w:t>
      </w:r>
    </w:hyperlink>
    <w:r w:rsidRPr="00353AC4">
      <w:rPr>
        <w:rFonts w:cstheme="minorHAnsi"/>
        <w:sz w:val="20"/>
        <w:szCs w:val="20"/>
      </w:rPr>
      <w:t xml:space="preserve"> | </w:t>
    </w:r>
    <w:hyperlink r:id="rId2" w:history="1">
      <w:r w:rsidRPr="00353AC4">
        <w:rPr>
          <w:rStyle w:val="Hyperlink"/>
          <w:rFonts w:cstheme="minorHAnsi"/>
          <w:color w:val="auto"/>
          <w:sz w:val="20"/>
          <w:szCs w:val="20"/>
          <w:u w:val="none"/>
        </w:rPr>
        <w:t>cte.virginia.edu</w:t>
      </w:r>
    </w:hyperlink>
  </w:p>
  <w:p w14:paraId="49AC430C" w14:textId="77777777" w:rsidR="002B4030" w:rsidRPr="00353AC4" w:rsidRDefault="002B403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9150" w14:textId="77777777" w:rsidR="00B42FA4" w:rsidRPr="00353AC4" w:rsidRDefault="00B42FA4" w:rsidP="003E0189">
    <w:pPr>
      <w:pStyle w:val="Header"/>
      <w:pBdr>
        <w:top w:val="single" w:sz="4" w:space="1" w:color="auto"/>
      </w:pBdr>
      <w:jc w:val="center"/>
      <w:rPr>
        <w:rFonts w:cstheme="minorHAnsi"/>
        <w:sz w:val="20"/>
        <w:szCs w:val="20"/>
      </w:rPr>
    </w:pPr>
    <w:r w:rsidRPr="00353AC4">
      <w:rPr>
        <w:rFonts w:cstheme="minorHAnsi"/>
        <w:sz w:val="20"/>
        <w:szCs w:val="20"/>
      </w:rPr>
      <w:t>University of Virginia | Hotel D, 24 East Range | PO Box 400136</w:t>
    </w:r>
  </w:p>
  <w:p w14:paraId="415C669B" w14:textId="77777777" w:rsidR="00B42FA4" w:rsidRPr="00353AC4" w:rsidRDefault="00B42FA4" w:rsidP="00B42FA4">
    <w:pPr>
      <w:pStyle w:val="Header"/>
      <w:jc w:val="center"/>
      <w:rPr>
        <w:rFonts w:cstheme="minorHAnsi"/>
        <w:sz w:val="20"/>
        <w:szCs w:val="20"/>
      </w:rPr>
    </w:pPr>
    <w:r w:rsidRPr="00353AC4">
      <w:rPr>
        <w:rFonts w:cstheme="minorHAnsi"/>
        <w:sz w:val="20"/>
        <w:szCs w:val="20"/>
      </w:rPr>
      <w:t xml:space="preserve">434-982-2815 | </w:t>
    </w:r>
    <w:hyperlink r:id="rId1" w:history="1">
      <w:r w:rsidRPr="00353AC4">
        <w:rPr>
          <w:rStyle w:val="Hyperlink"/>
          <w:rFonts w:cstheme="minorHAnsi"/>
          <w:color w:val="auto"/>
          <w:sz w:val="20"/>
          <w:szCs w:val="20"/>
          <w:u w:val="none"/>
        </w:rPr>
        <w:t>cte-uva@virginia.edu</w:t>
      </w:r>
    </w:hyperlink>
    <w:r w:rsidRPr="00353AC4">
      <w:rPr>
        <w:rFonts w:cstheme="minorHAnsi"/>
        <w:sz w:val="20"/>
        <w:szCs w:val="20"/>
      </w:rPr>
      <w:t xml:space="preserve"> | </w:t>
    </w:r>
    <w:hyperlink r:id="rId2" w:history="1">
      <w:r w:rsidRPr="00353AC4">
        <w:rPr>
          <w:rStyle w:val="Hyperlink"/>
          <w:rFonts w:cstheme="minorHAnsi"/>
          <w:color w:val="auto"/>
          <w:sz w:val="20"/>
          <w:szCs w:val="20"/>
          <w:u w:val="none"/>
        </w:rPr>
        <w:t>cte.virginia.edu</w:t>
      </w:r>
    </w:hyperlink>
  </w:p>
  <w:p w14:paraId="1E75E737" w14:textId="77777777" w:rsidR="00B42FA4" w:rsidRDefault="00B42FA4" w:rsidP="00B42F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8930" w14:textId="77777777" w:rsidR="00473E66" w:rsidRDefault="00473E66" w:rsidP="005C6958">
      <w:pPr>
        <w:spacing w:after="0" w:line="240" w:lineRule="auto"/>
      </w:pPr>
      <w:r>
        <w:separator/>
      </w:r>
    </w:p>
  </w:footnote>
  <w:footnote w:type="continuationSeparator" w:id="0">
    <w:p w14:paraId="16E246B4" w14:textId="77777777" w:rsidR="00473E66" w:rsidRDefault="00473E66" w:rsidP="005C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F034" w14:textId="2F962EE4" w:rsidR="002B4030" w:rsidRPr="001D4CAD" w:rsidRDefault="002B4030" w:rsidP="001D4CAD">
    <w:pPr>
      <w:pStyle w:val="Header"/>
      <w:jc w:val="right"/>
      <w:rPr>
        <w:rFonts w:ascii="Franklin Gothic Medium Cond" w:hAnsi="Franklin Gothic Medium Cond"/>
        <w:color w:val="002060"/>
        <w:sz w:val="24"/>
        <w:szCs w:val="24"/>
      </w:rPr>
    </w:pPr>
    <w:r w:rsidRPr="005C6958">
      <w:rPr>
        <w:rFonts w:ascii="Franklin Gothic Book" w:hAnsi="Franklin Gothic Book"/>
        <w:b/>
        <w:bCs/>
        <w:color w:val="002060"/>
        <w:sz w:val="24"/>
        <w:szCs w:val="24"/>
      </w:rPr>
      <w:tab/>
    </w:r>
    <w:r w:rsidRPr="005C6958">
      <w:rPr>
        <w:rFonts w:ascii="Franklin Gothic Book" w:hAnsi="Franklin Gothic Book"/>
        <w:b/>
        <w:bCs/>
        <w:color w:val="002060"/>
        <w:sz w:val="24"/>
        <w:szCs w:val="24"/>
      </w:rPr>
      <w:tab/>
    </w:r>
  </w:p>
  <w:p w14:paraId="1EA75C51" w14:textId="5341C13D" w:rsidR="002B4030" w:rsidRPr="001D4CAD" w:rsidRDefault="002B4030" w:rsidP="00FE4A35">
    <w:pPr>
      <w:pStyle w:val="Header"/>
      <w:jc w:val="center"/>
      <w:rPr>
        <w:rFonts w:ascii="Franklin Gothic Medium Cond" w:hAnsi="Franklin Gothic Medium Cond"/>
        <w:color w:val="00206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BE2" w14:textId="012CACD1" w:rsidR="00FE4A35" w:rsidRDefault="003E01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22076" wp14:editId="0DECDF11">
          <wp:simplePos x="0" y="0"/>
          <wp:positionH relativeFrom="column">
            <wp:posOffset>1</wp:posOffset>
          </wp:positionH>
          <wp:positionV relativeFrom="paragraph">
            <wp:posOffset>-26475</wp:posOffset>
          </wp:positionV>
          <wp:extent cx="3028950" cy="54781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a-CTE-logo-4C-sp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246" cy="558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F5A2D" w14:textId="77777777" w:rsidR="00EC7A09" w:rsidRDefault="00FE4A35" w:rsidP="003E0189">
    <w:pPr>
      <w:pStyle w:val="Header"/>
      <w:pBdr>
        <w:bottom w:val="single" w:sz="4" w:space="1" w:color="auto"/>
      </w:pBdr>
    </w:pPr>
    <w:r>
      <w:tab/>
    </w:r>
    <w:r>
      <w:tab/>
    </w:r>
  </w:p>
  <w:p w14:paraId="45E8122B" w14:textId="60F5DA8E" w:rsidR="00353AC4" w:rsidRPr="00353AC4" w:rsidRDefault="00953067" w:rsidP="00353AC4">
    <w:pPr>
      <w:pStyle w:val="Header"/>
      <w:pBdr>
        <w:bottom w:val="single" w:sz="4" w:space="1" w:color="auto"/>
      </w:pBdr>
      <w:jc w:val="right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Alternative Grading Schemes</w:t>
    </w:r>
  </w:p>
  <w:p w14:paraId="7EBC684E" w14:textId="09DB0652" w:rsidR="003E0189" w:rsidRPr="006633A0" w:rsidRDefault="003E0189" w:rsidP="003E0189">
    <w:pPr>
      <w:pStyle w:val="Header"/>
      <w:rPr>
        <w:rFonts w:cstheme="minorHAnsi"/>
        <w:sz w:val="28"/>
        <w:szCs w:val="28"/>
      </w:rPr>
    </w:pPr>
    <w:r w:rsidRPr="006633A0">
      <w:rPr>
        <w:rFonts w:cstheme="minorHAnsi"/>
        <w:noProof/>
        <w:sz w:val="20"/>
        <w:szCs w:val="20"/>
      </w:rPr>
      <w:t>Enhancing Learning | Fostering Innovation</w:t>
    </w:r>
    <w:r w:rsidR="000B1A34" w:rsidRPr="006633A0">
      <w:rPr>
        <w:rFonts w:cstheme="minorHAnsi"/>
        <w:noProof/>
        <w:sz w:val="20"/>
        <w:szCs w:val="20"/>
      </w:rPr>
      <w:t xml:space="preserve"> | Building Community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8"/>
    <w:rsid w:val="00000D20"/>
    <w:rsid w:val="0001420B"/>
    <w:rsid w:val="000419E9"/>
    <w:rsid w:val="000722FA"/>
    <w:rsid w:val="00080DB6"/>
    <w:rsid w:val="000B1A34"/>
    <w:rsid w:val="000C4B14"/>
    <w:rsid w:val="00125267"/>
    <w:rsid w:val="00170D85"/>
    <w:rsid w:val="00181131"/>
    <w:rsid w:val="001933AF"/>
    <w:rsid w:val="001D4CAD"/>
    <w:rsid w:val="002813B2"/>
    <w:rsid w:val="002922AD"/>
    <w:rsid w:val="002B4030"/>
    <w:rsid w:val="00311471"/>
    <w:rsid w:val="00311B73"/>
    <w:rsid w:val="00337B42"/>
    <w:rsid w:val="00353AC4"/>
    <w:rsid w:val="00384ECD"/>
    <w:rsid w:val="003D0EBB"/>
    <w:rsid w:val="003E0189"/>
    <w:rsid w:val="003E1866"/>
    <w:rsid w:val="003F1885"/>
    <w:rsid w:val="00450A89"/>
    <w:rsid w:val="0047294C"/>
    <w:rsid w:val="00473E66"/>
    <w:rsid w:val="004D372E"/>
    <w:rsid w:val="005148B6"/>
    <w:rsid w:val="005335BB"/>
    <w:rsid w:val="005C6958"/>
    <w:rsid w:val="005E0CEE"/>
    <w:rsid w:val="005F03E7"/>
    <w:rsid w:val="006633A0"/>
    <w:rsid w:val="006B452D"/>
    <w:rsid w:val="00701D6C"/>
    <w:rsid w:val="007119D3"/>
    <w:rsid w:val="007478CA"/>
    <w:rsid w:val="00762ED8"/>
    <w:rsid w:val="007712C0"/>
    <w:rsid w:val="0077414F"/>
    <w:rsid w:val="007F081B"/>
    <w:rsid w:val="00814010"/>
    <w:rsid w:val="00833D96"/>
    <w:rsid w:val="009252AC"/>
    <w:rsid w:val="00953067"/>
    <w:rsid w:val="009C373C"/>
    <w:rsid w:val="00B17E5D"/>
    <w:rsid w:val="00B42FA4"/>
    <w:rsid w:val="00B50317"/>
    <w:rsid w:val="00B81278"/>
    <w:rsid w:val="00BD643E"/>
    <w:rsid w:val="00BF77D8"/>
    <w:rsid w:val="00CD5653"/>
    <w:rsid w:val="00CE154C"/>
    <w:rsid w:val="00D31820"/>
    <w:rsid w:val="00D423A4"/>
    <w:rsid w:val="00D56FD2"/>
    <w:rsid w:val="00DA4BB3"/>
    <w:rsid w:val="00DB1851"/>
    <w:rsid w:val="00E45700"/>
    <w:rsid w:val="00E90BE4"/>
    <w:rsid w:val="00EC7A09"/>
    <w:rsid w:val="00EE14DA"/>
    <w:rsid w:val="00EE3A41"/>
    <w:rsid w:val="00F0050C"/>
    <w:rsid w:val="00F02C0B"/>
    <w:rsid w:val="00F100E7"/>
    <w:rsid w:val="00F21DC9"/>
    <w:rsid w:val="00F26B11"/>
    <w:rsid w:val="00F9796B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6B36"/>
  <w15:chartTrackingRefBased/>
  <w15:docId w15:val="{21D81BE1-6DD7-4FE6-8E8B-56BB7C7D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58"/>
  </w:style>
  <w:style w:type="paragraph" w:styleId="Footer">
    <w:name w:val="footer"/>
    <w:basedOn w:val="Normal"/>
    <w:link w:val="FooterChar"/>
    <w:uiPriority w:val="99"/>
    <w:unhideWhenUsed/>
    <w:rsid w:val="005C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58"/>
  </w:style>
  <w:style w:type="character" w:styleId="Hyperlink">
    <w:name w:val="Hyperlink"/>
    <w:basedOn w:val="DefaultParagraphFont"/>
    <w:uiPriority w:val="99"/>
    <w:unhideWhenUsed/>
    <w:rsid w:val="001D4C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C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511970.2019.170057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80/87567555.2017.130291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ac.colostate.edu/books/perspectives/labo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TE.VIRGINIA.EDU" TargetMode="External"/><Relationship Id="rId1" Type="http://schemas.openxmlformats.org/officeDocument/2006/relationships/hyperlink" Target="mailto:cte-uva@virginia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TE.VIRGINIA.EDU" TargetMode="External"/><Relationship Id="rId1" Type="http://schemas.openxmlformats.org/officeDocument/2006/relationships/hyperlink" Target="mailto:cte-uva@virginia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E351-52FF-4250-A305-271A1E16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Sloane, Kristin Renée (ks8yx)</dc:creator>
  <cp:keywords/>
  <dc:description/>
  <cp:lastModifiedBy>Streifer, Adriana C (acs6h)</cp:lastModifiedBy>
  <cp:revision>4</cp:revision>
  <cp:lastPrinted>2019-09-26T18:09:00Z</cp:lastPrinted>
  <dcterms:created xsi:type="dcterms:W3CDTF">2024-02-13T18:52:00Z</dcterms:created>
  <dcterms:modified xsi:type="dcterms:W3CDTF">2024-02-29T15:06:00Z</dcterms:modified>
</cp:coreProperties>
</file>